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FC" w:rsidRDefault="00D913B5">
      <w:pPr>
        <w:pStyle w:val="Standard"/>
        <w:pageBreakBefore/>
      </w:pPr>
      <w:bookmarkStart w:id="0" w:name="_GoBack"/>
      <w:bookmarkEnd w:id="0"/>
      <w:r>
        <w:rPr>
          <w:rFonts w:ascii="Calibri" w:eastAsia="Calibri" w:hAnsi="Calibri" w:cs="Calibri"/>
          <w:b/>
          <w:color w:val="004586"/>
          <w:sz w:val="44"/>
        </w:rPr>
        <w:t>Lesson Plan III: How Do I Read a Building?</w:t>
      </w:r>
    </w:p>
    <w:p w:rsidR="00BB35FC" w:rsidRDefault="00BB35FC">
      <w:pPr>
        <w:pStyle w:val="Standard"/>
      </w:pPr>
    </w:p>
    <w:tbl>
      <w:tblPr>
        <w:tblW w:w="8490" w:type="dxa"/>
        <w:tblInd w:w="-108" w:type="dxa"/>
        <w:tblLayout w:type="fixed"/>
        <w:tblCellMar>
          <w:left w:w="10" w:type="dxa"/>
          <w:right w:w="10" w:type="dxa"/>
        </w:tblCellMar>
        <w:tblLook w:val="0000" w:firstRow="0" w:lastRow="0" w:firstColumn="0" w:lastColumn="0" w:noHBand="0" w:noVBand="0"/>
      </w:tblPr>
      <w:tblGrid>
        <w:gridCol w:w="4244"/>
        <w:gridCol w:w="4246"/>
      </w:tblGrid>
      <w:tr w:rsidR="00BB35FC">
        <w:tblPrEx>
          <w:tblCellMar>
            <w:top w:w="0" w:type="dxa"/>
            <w:bottom w:w="0" w:type="dxa"/>
          </w:tblCellMar>
        </w:tblPrEx>
        <w:tc>
          <w:tcPr>
            <w:tcW w:w="424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BB35FC" w:rsidRDefault="00D913B5">
            <w:pPr>
              <w:pStyle w:val="Standard"/>
            </w:pPr>
            <w:r>
              <w:rPr>
                <w:rFonts w:ascii="Calibri" w:eastAsia="Calibri" w:hAnsi="Calibri" w:cs="Calibri"/>
              </w:rPr>
              <w:t>Date(s):</w:t>
            </w:r>
          </w:p>
        </w:tc>
        <w:tc>
          <w:tcPr>
            <w:tcW w:w="4246"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BB35FC" w:rsidRDefault="00D913B5">
            <w:pPr>
              <w:pStyle w:val="Standard"/>
            </w:pPr>
            <w:r>
              <w:rPr>
                <w:rFonts w:ascii="Calibri" w:eastAsia="Calibri" w:hAnsi="Calibri" w:cs="Calibri"/>
              </w:rPr>
              <w:t>Materials:</w:t>
            </w:r>
          </w:p>
        </w:tc>
      </w:tr>
      <w:tr w:rsidR="00BB35FC">
        <w:tblPrEx>
          <w:tblCellMar>
            <w:top w:w="0" w:type="dxa"/>
            <w:bottom w:w="0" w:type="dxa"/>
          </w:tblCellMar>
        </w:tblPrEx>
        <w:tc>
          <w:tcPr>
            <w:tcW w:w="424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BB35FC" w:rsidRDefault="00BB35FC">
            <w:pPr>
              <w:pStyle w:val="Standard"/>
            </w:pPr>
          </w:p>
        </w:tc>
        <w:tc>
          <w:tcPr>
            <w:tcW w:w="4246" w:type="dxa"/>
            <w:tcBorders>
              <w:top w:val="single" w:sz="8" w:space="0" w:color="000001"/>
              <w:left w:val="single" w:sz="8" w:space="0" w:color="000001"/>
              <w:bottom w:val="single" w:sz="8" w:space="0" w:color="000001"/>
              <w:right w:val="single" w:sz="8" w:space="0" w:color="000001"/>
            </w:tcBorders>
            <w:shd w:val="clear" w:color="auto" w:fill="D3DFEE"/>
            <w:tcMar>
              <w:top w:w="0" w:type="dxa"/>
              <w:left w:w="108" w:type="dxa"/>
              <w:bottom w:w="0" w:type="dxa"/>
              <w:right w:w="108" w:type="dxa"/>
            </w:tcMar>
          </w:tcPr>
          <w:p w:rsidR="00BB35FC" w:rsidRDefault="00BB35FC">
            <w:pPr>
              <w:pStyle w:val="Standard"/>
            </w:pPr>
          </w:p>
          <w:p w:rsidR="00BB35FC" w:rsidRDefault="00BB35FC">
            <w:pPr>
              <w:pStyle w:val="Standard"/>
            </w:pPr>
          </w:p>
        </w:tc>
      </w:tr>
    </w:tbl>
    <w:p w:rsidR="00BB35FC" w:rsidRDefault="00BB35FC">
      <w:pPr>
        <w:pStyle w:val="Standard"/>
      </w:pPr>
    </w:p>
    <w:p w:rsidR="00BB35FC" w:rsidRDefault="00D913B5">
      <w:pPr>
        <w:pStyle w:val="Standard"/>
      </w:pPr>
      <w:r>
        <w:rPr>
          <w:rFonts w:ascii="Calibri" w:eastAsia="Calibri" w:hAnsi="Calibri" w:cs="Calibri"/>
          <w:b/>
          <w:color w:val="DC2300"/>
          <w:sz w:val="28"/>
          <w:szCs w:val="28"/>
        </w:rPr>
        <w:t>Learning Objectives:</w:t>
      </w:r>
    </w:p>
    <w:p w:rsidR="00BB35FC" w:rsidRDefault="00D913B5">
      <w:pPr>
        <w:pStyle w:val="Standard"/>
      </w:pPr>
      <w:r>
        <w:rPr>
          <w:rFonts w:ascii="Calibri" w:eastAsia="Calibri" w:hAnsi="Calibri" w:cs="Calibri"/>
        </w:rPr>
        <w:t>Understand the history of buildings and place through literacy skills to support cognitively-complex levels of thinking,</w:t>
      </w:r>
      <w:r>
        <w:rPr>
          <w:rFonts w:ascii="Calibri" w:eastAsia="Calibri" w:hAnsi="Calibri" w:cs="Calibri"/>
          <w:i/>
          <w:iCs/>
        </w:rPr>
        <w:t xml:space="preserve"> i.e.</w:t>
      </w:r>
      <w:r>
        <w:rPr>
          <w:rFonts w:ascii="Calibri" w:eastAsia="Calibri" w:hAnsi="Calibri" w:cs="Calibri"/>
        </w:rPr>
        <w:t>, “How to Read Old Buildings.”</w:t>
      </w:r>
    </w:p>
    <w:p w:rsidR="00BB35FC" w:rsidRDefault="00D913B5">
      <w:pPr>
        <w:pStyle w:val="Standard"/>
        <w:numPr>
          <w:ilvl w:val="0"/>
          <w:numId w:val="22"/>
        </w:numPr>
      </w:pPr>
      <w:r>
        <w:rPr>
          <w:rFonts w:ascii="Calibri" w:eastAsia="Calibri" w:hAnsi="Calibri" w:cs="Calibri"/>
        </w:rPr>
        <w:t>Understand that the history of old buildings can be understood as a story that consists of character</w:t>
      </w:r>
      <w:r>
        <w:rPr>
          <w:rFonts w:ascii="Calibri" w:eastAsia="Calibri" w:hAnsi="Calibri" w:cs="Calibri"/>
        </w:rPr>
        <w:t>s, events, actions, cause and effect relationships, and outcomes that all interact and influence each other.</w:t>
      </w:r>
    </w:p>
    <w:p w:rsidR="00BB35FC" w:rsidRDefault="00D913B5">
      <w:pPr>
        <w:pStyle w:val="Standard"/>
        <w:numPr>
          <w:ilvl w:val="0"/>
          <w:numId w:val="22"/>
        </w:numPr>
      </w:pPr>
      <w:r>
        <w:rPr>
          <w:rFonts w:ascii="Calibri" w:eastAsia="Calibri" w:hAnsi="Calibri" w:cs="Calibri"/>
        </w:rPr>
        <w:t>Understand that like a story, a building’s history can extend past a finite ending and that present people and events are constantly shaping that h</w:t>
      </w:r>
      <w:r>
        <w:rPr>
          <w:rFonts w:ascii="Calibri" w:eastAsia="Calibri" w:hAnsi="Calibri" w:cs="Calibri"/>
        </w:rPr>
        <w:t>istory.</w:t>
      </w:r>
    </w:p>
    <w:p w:rsidR="00BB35FC" w:rsidRDefault="00D913B5">
      <w:pPr>
        <w:pStyle w:val="Standard"/>
        <w:numPr>
          <w:ilvl w:val="0"/>
          <w:numId w:val="22"/>
        </w:numPr>
      </w:pPr>
      <w:r>
        <w:rPr>
          <w:rFonts w:ascii="Calibri" w:eastAsia="Calibri" w:hAnsi="Calibri" w:cs="Calibri"/>
        </w:rPr>
        <w:t>Understand how higher-order historical thinking and literacy skills can be applied in order to interpret past events and issues.</w:t>
      </w:r>
    </w:p>
    <w:p w:rsidR="00BB35FC" w:rsidRDefault="00D913B5">
      <w:pPr>
        <w:pStyle w:val="Standard"/>
        <w:numPr>
          <w:ilvl w:val="0"/>
          <w:numId w:val="22"/>
        </w:numPr>
      </w:pPr>
      <w:r>
        <w:rPr>
          <w:rFonts w:ascii="Calibri" w:eastAsia="Calibri" w:hAnsi="Calibri" w:cs="Calibri"/>
        </w:rPr>
        <w:t>Understand that historical perspectives can vary widely amongst people with different ideas about cause and effect.</w:t>
      </w:r>
    </w:p>
    <w:p w:rsidR="00BB35FC" w:rsidRDefault="00D913B5">
      <w:pPr>
        <w:pStyle w:val="Standard"/>
        <w:numPr>
          <w:ilvl w:val="0"/>
          <w:numId w:val="22"/>
        </w:numPr>
      </w:pPr>
      <w:r>
        <w:rPr>
          <w:rFonts w:ascii="Calibri" w:eastAsia="Calibri" w:hAnsi="Calibri" w:cs="Calibri"/>
        </w:rPr>
        <w:t>Und</w:t>
      </w:r>
      <w:r>
        <w:rPr>
          <w:rFonts w:ascii="Calibri" w:eastAsia="Calibri" w:hAnsi="Calibri" w:cs="Calibri"/>
        </w:rPr>
        <w:t>erstand how to develop a building’s story in line with the norms and values of a time period.</w:t>
      </w:r>
    </w:p>
    <w:p w:rsidR="00BB35FC" w:rsidRDefault="00D913B5">
      <w:pPr>
        <w:pStyle w:val="Standard"/>
        <w:numPr>
          <w:ilvl w:val="0"/>
          <w:numId w:val="22"/>
        </w:numPr>
      </w:pPr>
      <w:r>
        <w:rPr>
          <w:rFonts w:ascii="Calibri" w:eastAsia="Calibri" w:hAnsi="Calibri" w:cs="Calibri"/>
        </w:rPr>
        <w:t>Understand the interpretation of timelines in developing a story.</w:t>
      </w:r>
    </w:p>
    <w:p w:rsidR="00BB35FC" w:rsidRDefault="00D913B5">
      <w:pPr>
        <w:pStyle w:val="Standard"/>
        <w:numPr>
          <w:ilvl w:val="0"/>
          <w:numId w:val="22"/>
        </w:numPr>
      </w:pPr>
      <w:r>
        <w:rPr>
          <w:rFonts w:ascii="Calibri" w:eastAsia="Calibri" w:hAnsi="Calibri" w:cs="Calibri"/>
        </w:rPr>
        <w:t>Understand how a building's story is impacted by individual and group decisions based on a range</w:t>
      </w:r>
      <w:r>
        <w:rPr>
          <w:rFonts w:ascii="Calibri" w:eastAsia="Calibri" w:hAnsi="Calibri" w:cs="Calibri"/>
        </w:rPr>
        <w:t xml:space="preserve"> of factors, including economic needs and wants, events influencing the U.S. economic system, state and local economic activity, and the types of work local community members participate in over time.</w:t>
      </w:r>
    </w:p>
    <w:p w:rsidR="00BB35FC" w:rsidRDefault="00D913B5">
      <w:pPr>
        <w:pStyle w:val="Standard"/>
        <w:numPr>
          <w:ilvl w:val="0"/>
          <w:numId w:val="22"/>
        </w:numPr>
      </w:pPr>
      <w:r>
        <w:rPr>
          <w:rFonts w:ascii="Calibri" w:eastAsia="Calibri" w:hAnsi="Calibri" w:cs="Calibri"/>
        </w:rPr>
        <w:t>Understand the effects of geographic factors on a build</w:t>
      </w:r>
      <w:r>
        <w:rPr>
          <w:rFonts w:ascii="Calibri" w:eastAsia="Calibri" w:hAnsi="Calibri" w:cs="Calibri"/>
        </w:rPr>
        <w:t>ing’s story, including available construction materials, landforms, land and water exploration, seasons, climate, weather, environmental change and crises affect social and economic development.</w:t>
      </w:r>
    </w:p>
    <w:p w:rsidR="00BB35FC" w:rsidRDefault="00D913B5">
      <w:pPr>
        <w:pStyle w:val="Standard"/>
        <w:numPr>
          <w:ilvl w:val="0"/>
          <w:numId w:val="22"/>
        </w:numPr>
      </w:pPr>
      <w:r>
        <w:rPr>
          <w:rFonts w:ascii="Calibri" w:eastAsia="Calibri" w:hAnsi="Calibri" w:cs="Calibri"/>
        </w:rPr>
        <w:t>Understand the role of innovation on the development of histo</w:t>
      </w:r>
      <w:r>
        <w:rPr>
          <w:rFonts w:ascii="Calibri" w:eastAsia="Calibri" w:hAnsi="Calibri" w:cs="Calibri"/>
        </w:rPr>
        <w:t>ric buildings and places as influenced by cultural, scientific, and technological decisions of societies that change the way technology is used and the way people think about technological developments over time.</w:t>
      </w:r>
    </w:p>
    <w:p w:rsidR="00BB35FC" w:rsidRDefault="00BB35FC">
      <w:pPr>
        <w:pStyle w:val="Standard"/>
        <w:spacing w:line="314" w:lineRule="auto"/>
      </w:pPr>
    </w:p>
    <w:p w:rsidR="00BB35FC" w:rsidRDefault="00D913B5">
      <w:pPr>
        <w:pStyle w:val="Standard"/>
        <w:spacing w:line="314" w:lineRule="auto"/>
      </w:pPr>
      <w:r>
        <w:rPr>
          <w:rFonts w:ascii="Calibri" w:eastAsia="Calibri" w:hAnsi="Calibri" w:cs="Calibri"/>
          <w:b/>
          <w:color w:val="CC0000"/>
          <w:sz w:val="28"/>
          <w:szCs w:val="28"/>
        </w:rPr>
        <w:t>Sequence of Instruction:</w:t>
      </w:r>
    </w:p>
    <w:p w:rsidR="00BB35FC" w:rsidRDefault="00D913B5">
      <w:pPr>
        <w:pStyle w:val="Standard"/>
      </w:pPr>
      <w:r>
        <w:rPr>
          <w:rFonts w:ascii="Calibri" w:eastAsia="Calibri" w:hAnsi="Calibri" w:cs="Calibri"/>
        </w:rPr>
        <w:t>____ Activity: Ha</w:t>
      </w:r>
      <w:r>
        <w:rPr>
          <w:rFonts w:ascii="Calibri" w:eastAsia="Calibri" w:hAnsi="Calibri" w:cs="Calibri"/>
        </w:rPr>
        <w:t>ve two students volunteer to record the class discussion. The first student will act as the historian, the other the storyteller.</w:t>
      </w:r>
    </w:p>
    <w:p w:rsidR="00BB35FC" w:rsidRDefault="00D913B5">
      <w:pPr>
        <w:pStyle w:val="Standard"/>
        <w:numPr>
          <w:ilvl w:val="0"/>
          <w:numId w:val="23"/>
        </w:numPr>
        <w:ind w:left="1089" w:hanging="360"/>
      </w:pPr>
      <w:r>
        <w:rPr>
          <w:rFonts w:ascii="Calibri" w:eastAsia="Calibri" w:hAnsi="Calibri" w:cs="Calibri"/>
        </w:rPr>
        <w:t>Have the class choose a familiar, old, local building, one to which they have taken a field trip or the building you are locat</w:t>
      </w:r>
      <w:r>
        <w:rPr>
          <w:rFonts w:ascii="Calibri" w:eastAsia="Calibri" w:hAnsi="Calibri" w:cs="Calibri"/>
        </w:rPr>
        <w:t>ed in, your school.</w:t>
      </w:r>
    </w:p>
    <w:p w:rsidR="00BB35FC" w:rsidRDefault="00D913B5">
      <w:pPr>
        <w:pStyle w:val="Standard"/>
        <w:numPr>
          <w:ilvl w:val="0"/>
          <w:numId w:val="23"/>
        </w:numPr>
        <w:ind w:left="1089" w:hanging="360"/>
      </w:pPr>
      <w:r>
        <w:rPr>
          <w:rFonts w:ascii="Calibri" w:eastAsia="Calibri" w:hAnsi="Calibri" w:cs="Calibri"/>
        </w:rPr>
        <w:t>Have the volunteer historian write down everything the class knows about that building based on clue questions presented in the Research Guide: facts, dates, people, developments, events, disasters, etc.</w:t>
      </w:r>
    </w:p>
    <w:p w:rsidR="00BB35FC" w:rsidRDefault="00D913B5">
      <w:pPr>
        <w:pStyle w:val="Standard"/>
        <w:numPr>
          <w:ilvl w:val="0"/>
          <w:numId w:val="23"/>
        </w:numPr>
        <w:ind w:left="1089" w:hanging="360"/>
      </w:pPr>
      <w:r>
        <w:rPr>
          <w:rFonts w:ascii="Calibri" w:eastAsia="Calibri" w:hAnsi="Calibri" w:cs="Calibri"/>
        </w:rPr>
        <w:t xml:space="preserve">Have the volunteer storyteller </w:t>
      </w:r>
      <w:r>
        <w:rPr>
          <w:rFonts w:ascii="Calibri" w:eastAsia="Calibri" w:hAnsi="Calibri" w:cs="Calibri"/>
        </w:rPr>
        <w:t xml:space="preserve">plot out the building’s story using the brainstorming </w:t>
      </w:r>
      <w:r>
        <w:rPr>
          <w:rFonts w:ascii="Calibri" w:eastAsia="Calibri" w:hAnsi="Calibri" w:cs="Calibri"/>
        </w:rPr>
        <w:lastRenderedPageBreak/>
        <w:t>chart at the end of the Research Guide. Encourage the student volunteer to use visual markers.</w:t>
      </w:r>
    </w:p>
    <w:p w:rsidR="00BB35FC" w:rsidRDefault="00BB35FC">
      <w:pPr>
        <w:pStyle w:val="Standard"/>
      </w:pPr>
    </w:p>
    <w:p w:rsidR="00BB35FC" w:rsidRDefault="00D913B5">
      <w:pPr>
        <w:pStyle w:val="Standard"/>
      </w:pPr>
      <w:r>
        <w:rPr>
          <w:rFonts w:ascii="Calibri" w:eastAsia="Calibri" w:hAnsi="Calibri" w:cs="Calibri"/>
        </w:rPr>
        <w:t>____ Discuss: Talk about the activity. Consider asking students the following questions:</w:t>
      </w:r>
    </w:p>
    <w:p w:rsidR="00BB35FC" w:rsidRDefault="00D913B5">
      <w:pPr>
        <w:pStyle w:val="Standard"/>
        <w:numPr>
          <w:ilvl w:val="0"/>
          <w:numId w:val="24"/>
        </w:numPr>
        <w:ind w:left="1105" w:hanging="360"/>
      </w:pPr>
      <w:r>
        <w:rPr>
          <w:rFonts w:ascii="Calibri" w:eastAsia="Calibri" w:hAnsi="Calibri" w:cs="Calibri"/>
        </w:rPr>
        <w:t>Did you find turn</w:t>
      </w:r>
      <w:r>
        <w:rPr>
          <w:rFonts w:ascii="Calibri" w:eastAsia="Calibri" w:hAnsi="Calibri" w:cs="Calibri"/>
        </w:rPr>
        <w:t>ing a building’s history into a story more challenging than expected or easier? Why?</w:t>
      </w:r>
    </w:p>
    <w:p w:rsidR="00BB35FC" w:rsidRDefault="00D913B5">
      <w:pPr>
        <w:pStyle w:val="Standard"/>
        <w:numPr>
          <w:ilvl w:val="0"/>
          <w:numId w:val="24"/>
        </w:numPr>
        <w:ind w:left="1105" w:hanging="360"/>
      </w:pPr>
      <w:r>
        <w:rPr>
          <w:rFonts w:ascii="Calibri" w:eastAsia="Calibri" w:hAnsi="Calibri" w:cs="Calibri"/>
        </w:rPr>
        <w:t>Can you think of other ways building history might be like a story?</w:t>
      </w:r>
    </w:p>
    <w:p w:rsidR="00BB35FC" w:rsidRDefault="00D913B5">
      <w:pPr>
        <w:pStyle w:val="Standard"/>
        <w:numPr>
          <w:ilvl w:val="0"/>
          <w:numId w:val="24"/>
        </w:numPr>
        <w:ind w:left="1105" w:hanging="360"/>
      </w:pPr>
      <w:r>
        <w:rPr>
          <w:rFonts w:ascii="Calibri" w:eastAsia="Calibri" w:hAnsi="Calibri" w:cs="Calibri"/>
        </w:rPr>
        <w:t>What’s the next building you want to write a story on?</w:t>
      </w:r>
    </w:p>
    <w:p w:rsidR="00BB35FC" w:rsidRDefault="00BB35FC">
      <w:pPr>
        <w:pStyle w:val="Standard"/>
      </w:pPr>
    </w:p>
    <w:p w:rsidR="00BB35FC" w:rsidRDefault="00D913B5">
      <w:pPr>
        <w:pStyle w:val="Standard"/>
      </w:pPr>
      <w:r>
        <w:rPr>
          <w:rFonts w:ascii="Calibri" w:eastAsia="Calibri" w:hAnsi="Calibri" w:cs="Calibri"/>
        </w:rPr>
        <w:t>____ Homework: Have students read Scott Reynold</w:t>
      </w:r>
      <w:r>
        <w:rPr>
          <w:rFonts w:ascii="Calibri" w:eastAsia="Calibri" w:hAnsi="Calibri" w:cs="Calibri"/>
        </w:rPr>
        <w:t xml:space="preserve">s Nelson and Marc Aronson’s </w:t>
      </w:r>
      <w:r>
        <w:rPr>
          <w:rFonts w:ascii="Calibri" w:eastAsia="Calibri" w:hAnsi="Calibri" w:cs="Calibri"/>
          <w:i/>
        </w:rPr>
        <w:t xml:space="preserve">Ain’t Nothin’ But a Man: My Quest to Find the Real John Henry, </w:t>
      </w:r>
      <w:r>
        <w:rPr>
          <w:rFonts w:ascii="Calibri" w:eastAsia="Calibri" w:hAnsi="Calibri" w:cs="Calibri"/>
          <w:i/>
          <w:iCs/>
        </w:rPr>
        <w:t>National Geographic</w:t>
      </w:r>
      <w:r>
        <w:rPr>
          <w:rFonts w:ascii="Calibri" w:eastAsia="Calibri" w:hAnsi="Calibri" w:cs="Calibri"/>
        </w:rPr>
        <w:t>, 2007.  Have a follow-up activity in class the next day in which you either (1) discuss the similarities and differences between researching hist</w:t>
      </w:r>
      <w:r>
        <w:rPr>
          <w:rFonts w:ascii="Calibri" w:eastAsia="Calibri" w:hAnsi="Calibri" w:cs="Calibri"/>
        </w:rPr>
        <w:t>orical people and buildings, or (2) have students think metacognitively about their own research narrative by asking them to write about their own historical investigation experiences—ones conducted previously in class or outside.</w:t>
      </w:r>
    </w:p>
    <w:p w:rsidR="00BB35FC" w:rsidRDefault="00BB35FC">
      <w:pPr>
        <w:pStyle w:val="Standard"/>
      </w:pPr>
    </w:p>
    <w:tbl>
      <w:tblPr>
        <w:tblW w:w="8795" w:type="dxa"/>
        <w:tblInd w:w="-108" w:type="dxa"/>
        <w:tblLayout w:type="fixed"/>
        <w:tblCellMar>
          <w:left w:w="10" w:type="dxa"/>
          <w:right w:w="10" w:type="dxa"/>
        </w:tblCellMar>
        <w:tblLook w:val="0000" w:firstRow="0" w:lastRow="0" w:firstColumn="0" w:lastColumn="0" w:noHBand="0" w:noVBand="0"/>
      </w:tblPr>
      <w:tblGrid>
        <w:gridCol w:w="8795"/>
      </w:tblGrid>
      <w:tr w:rsidR="00BB35FC">
        <w:tblPrEx>
          <w:tblCellMar>
            <w:top w:w="0" w:type="dxa"/>
            <w:bottom w:w="0" w:type="dxa"/>
          </w:tblCellMar>
        </w:tblPrEx>
        <w:tc>
          <w:tcPr>
            <w:tcW w:w="8795"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BB35FC" w:rsidRDefault="00D913B5">
            <w:pPr>
              <w:pStyle w:val="Standard"/>
              <w:spacing w:line="314" w:lineRule="auto"/>
            </w:pPr>
            <w:r>
              <w:rPr>
                <w:rFonts w:ascii="Calibri" w:eastAsia="Calibri" w:hAnsi="Calibri" w:cs="Calibri"/>
                <w:b/>
                <w:color w:val="CC0000"/>
                <w:sz w:val="28"/>
              </w:rPr>
              <w:t>Teacher’s Notes:</w:t>
            </w:r>
          </w:p>
          <w:p w:rsidR="00BB35FC" w:rsidRDefault="00BB35FC">
            <w:pPr>
              <w:pStyle w:val="Standard"/>
            </w:pPr>
          </w:p>
          <w:p w:rsidR="00BB35FC" w:rsidRDefault="00BB35FC">
            <w:pPr>
              <w:pStyle w:val="Standard"/>
            </w:pPr>
          </w:p>
        </w:tc>
      </w:tr>
    </w:tbl>
    <w:p w:rsidR="00BB35FC" w:rsidRDefault="00BB35FC">
      <w:pPr>
        <w:pStyle w:val="Standard"/>
      </w:pPr>
    </w:p>
    <w:sectPr w:rsidR="00BB35F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3B5" w:rsidRDefault="00D913B5">
      <w:pPr>
        <w:spacing w:line="240" w:lineRule="auto"/>
      </w:pPr>
      <w:r>
        <w:separator/>
      </w:r>
    </w:p>
  </w:endnote>
  <w:endnote w:type="continuationSeparator" w:id="0">
    <w:p w:rsidR="00D913B5" w:rsidRDefault="00D913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3B5" w:rsidRDefault="00D913B5">
      <w:pPr>
        <w:spacing w:line="240" w:lineRule="auto"/>
      </w:pPr>
      <w:r>
        <w:separator/>
      </w:r>
    </w:p>
  </w:footnote>
  <w:footnote w:type="continuationSeparator" w:id="0">
    <w:p w:rsidR="00D913B5" w:rsidRDefault="00D913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5D0"/>
    <w:multiLevelType w:val="multilevel"/>
    <w:tmpl w:val="AE28AD40"/>
    <w:styleLink w:val="WWNum12"/>
    <w:lvl w:ilvl="0">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abstractNum>
  <w:abstractNum w:abstractNumId="1" w15:restartNumberingAfterBreak="0">
    <w:nsid w:val="0D552838"/>
    <w:multiLevelType w:val="multilevel"/>
    <w:tmpl w:val="5A5610B8"/>
    <w:styleLink w:val="WWNum3"/>
    <w:lvl w:ilvl="0">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abstractNum>
  <w:abstractNum w:abstractNumId="2" w15:restartNumberingAfterBreak="0">
    <w:nsid w:val="11F51EC0"/>
    <w:multiLevelType w:val="multilevel"/>
    <w:tmpl w:val="A0D45AB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155E6607"/>
    <w:multiLevelType w:val="multilevel"/>
    <w:tmpl w:val="E1261C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1F0955A4"/>
    <w:multiLevelType w:val="multilevel"/>
    <w:tmpl w:val="9D52C09C"/>
    <w:styleLink w:val="WWNum8"/>
    <w:lvl w:ilvl="0">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abstractNum>
  <w:abstractNum w:abstractNumId="5" w15:restartNumberingAfterBreak="0">
    <w:nsid w:val="2CA319F0"/>
    <w:multiLevelType w:val="multilevel"/>
    <w:tmpl w:val="8C16C9D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2EE537C8"/>
    <w:multiLevelType w:val="multilevel"/>
    <w:tmpl w:val="550AEA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325A64B5"/>
    <w:multiLevelType w:val="multilevel"/>
    <w:tmpl w:val="68C2419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32860A1A"/>
    <w:multiLevelType w:val="multilevel"/>
    <w:tmpl w:val="7D4C4D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358E44C8"/>
    <w:multiLevelType w:val="multilevel"/>
    <w:tmpl w:val="E50CA5DA"/>
    <w:styleLink w:val="WWNum7"/>
    <w:lvl w:ilvl="0">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abstractNum>
  <w:abstractNum w:abstractNumId="10" w15:restartNumberingAfterBreak="0">
    <w:nsid w:val="3BD8116F"/>
    <w:multiLevelType w:val="multilevel"/>
    <w:tmpl w:val="181662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3EE468C6"/>
    <w:multiLevelType w:val="multilevel"/>
    <w:tmpl w:val="A7B419EE"/>
    <w:styleLink w:val="WWNum11"/>
    <w:lvl w:ilvl="0">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abstractNum>
  <w:abstractNum w:abstractNumId="12" w15:restartNumberingAfterBreak="0">
    <w:nsid w:val="461B4AFF"/>
    <w:multiLevelType w:val="multilevel"/>
    <w:tmpl w:val="C0C244A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4FC91568"/>
    <w:multiLevelType w:val="multilevel"/>
    <w:tmpl w:val="EE5ABCDA"/>
    <w:styleLink w:val="WWNum9"/>
    <w:lvl w:ilvl="0">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abstractNum>
  <w:abstractNum w:abstractNumId="14" w15:restartNumberingAfterBreak="0">
    <w:nsid w:val="50C25D43"/>
    <w:multiLevelType w:val="multilevel"/>
    <w:tmpl w:val="396C43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50D66467"/>
    <w:multiLevelType w:val="multilevel"/>
    <w:tmpl w:val="0254B370"/>
    <w:styleLink w:val="WWNum10"/>
    <w:lvl w:ilvl="0">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abstractNum>
  <w:abstractNum w:abstractNumId="16" w15:restartNumberingAfterBreak="0">
    <w:nsid w:val="534722F5"/>
    <w:multiLevelType w:val="multilevel"/>
    <w:tmpl w:val="790E6E60"/>
    <w:styleLink w:val="WWNum4"/>
    <w:lvl w:ilvl="0">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abstractNum>
  <w:abstractNum w:abstractNumId="17" w15:restartNumberingAfterBreak="0">
    <w:nsid w:val="5A704D22"/>
    <w:multiLevelType w:val="multilevel"/>
    <w:tmpl w:val="966077E0"/>
    <w:styleLink w:val="WWNum6"/>
    <w:lvl w:ilvl="0">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abstractNum>
  <w:abstractNum w:abstractNumId="18" w15:restartNumberingAfterBreak="0">
    <w:nsid w:val="60F25DE1"/>
    <w:multiLevelType w:val="multilevel"/>
    <w:tmpl w:val="71DC767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656B793D"/>
    <w:multiLevelType w:val="multilevel"/>
    <w:tmpl w:val="E40057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6D507810"/>
    <w:multiLevelType w:val="multilevel"/>
    <w:tmpl w:val="C0ACF7A4"/>
    <w:styleLink w:val="WWNum1"/>
    <w:lvl w:ilvl="0">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abstractNum>
  <w:abstractNum w:abstractNumId="21" w15:restartNumberingAfterBreak="0">
    <w:nsid w:val="7010606A"/>
    <w:multiLevelType w:val="multilevel"/>
    <w:tmpl w:val="08225A1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72382912"/>
    <w:multiLevelType w:val="multilevel"/>
    <w:tmpl w:val="A64E9060"/>
    <w:styleLink w:val="WWNum2"/>
    <w:lvl w:ilvl="0">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22"/>
        <w:u w:val="none"/>
        <w:vertAlign w:val="baseline"/>
      </w:rPr>
    </w:lvl>
  </w:abstractNum>
  <w:abstractNum w:abstractNumId="23" w15:restartNumberingAfterBreak="0">
    <w:nsid w:val="734501BE"/>
    <w:multiLevelType w:val="multilevel"/>
    <w:tmpl w:val="ECE0D360"/>
    <w:styleLink w:val="WWNum5"/>
    <w:lvl w:ilvl="0">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1">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2">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3">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4">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5">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6">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7">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lvl w:ilvl="8">
      <w:numFmt w:val="bullet"/>
      <w:lvlText w:val="■"/>
      <w:lvlJc w:val="left"/>
      <w:rPr>
        <w:rFonts w:ascii="Calibri" w:eastAsia="Calibri" w:hAnsi="Calibri" w:cs="Calibri"/>
        <w:b w:val="0"/>
        <w:i w:val="0"/>
        <w:caps w:val="0"/>
        <w:smallCaps w:val="0"/>
        <w:strike w:val="0"/>
        <w:dstrike w:val="0"/>
        <w:color w:val="000000"/>
        <w:position w:val="0"/>
        <w:sz w:val="18"/>
        <w:u w:val="none"/>
        <w:vertAlign w:val="baseline"/>
      </w:rPr>
    </w:lvl>
  </w:abstractNum>
  <w:num w:numId="1">
    <w:abstractNumId w:val="20"/>
  </w:num>
  <w:num w:numId="2">
    <w:abstractNumId w:val="22"/>
  </w:num>
  <w:num w:numId="3">
    <w:abstractNumId w:val="1"/>
  </w:num>
  <w:num w:numId="4">
    <w:abstractNumId w:val="16"/>
  </w:num>
  <w:num w:numId="5">
    <w:abstractNumId w:val="23"/>
  </w:num>
  <w:num w:numId="6">
    <w:abstractNumId w:val="17"/>
  </w:num>
  <w:num w:numId="7">
    <w:abstractNumId w:val="9"/>
  </w:num>
  <w:num w:numId="8">
    <w:abstractNumId w:val="4"/>
  </w:num>
  <w:num w:numId="9">
    <w:abstractNumId w:val="13"/>
  </w:num>
  <w:num w:numId="10">
    <w:abstractNumId w:val="15"/>
  </w:num>
  <w:num w:numId="11">
    <w:abstractNumId w:val="11"/>
  </w:num>
  <w:num w:numId="12">
    <w:abstractNumId w:val="0"/>
  </w:num>
  <w:num w:numId="13">
    <w:abstractNumId w:val="18"/>
  </w:num>
  <w:num w:numId="14">
    <w:abstractNumId w:val="19"/>
  </w:num>
  <w:num w:numId="15">
    <w:abstractNumId w:val="6"/>
  </w:num>
  <w:num w:numId="16">
    <w:abstractNumId w:val="14"/>
  </w:num>
  <w:num w:numId="17">
    <w:abstractNumId w:val="7"/>
  </w:num>
  <w:num w:numId="18">
    <w:abstractNumId w:val="21"/>
  </w:num>
  <w:num w:numId="19">
    <w:abstractNumId w:val="12"/>
  </w:num>
  <w:num w:numId="20">
    <w:abstractNumId w:val="5"/>
  </w:num>
  <w:num w:numId="21">
    <w:abstractNumId w:val="10"/>
  </w:num>
  <w:num w:numId="22">
    <w:abstractNumId w:val="2"/>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B35FC"/>
    <w:rsid w:val="00497B36"/>
    <w:rsid w:val="00BB35FC"/>
    <w:rsid w:val="00D9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B6075-FA1A-4004-9933-89632CDE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suppressAutoHyphens/>
      <w:spacing w:line="276" w:lineRule="auto"/>
    </w:pPr>
    <w:rPr>
      <w:rFonts w:ascii="Arial" w:eastAsia="Arial" w:hAnsi="Arial" w:cs="Arial"/>
      <w:color w:val="000000"/>
      <w:sz w:val="22"/>
    </w:rPr>
  </w:style>
  <w:style w:type="paragraph" w:styleId="Heading1">
    <w:name w:val="heading 1"/>
    <w:basedOn w:val="Normal"/>
    <w:next w:val="Textbody"/>
    <w:pPr>
      <w:spacing w:before="200" w:line="240" w:lineRule="auto"/>
      <w:outlineLvl w:val="0"/>
    </w:pPr>
    <w:rPr>
      <w:rFonts w:ascii="Trebuchet MS" w:eastAsia="Trebuchet MS" w:hAnsi="Trebuchet MS" w:cs="Trebuchet MS"/>
      <w:sz w:val="32"/>
    </w:rPr>
  </w:style>
  <w:style w:type="paragraph" w:styleId="Heading2">
    <w:name w:val="heading 2"/>
    <w:basedOn w:val="Normal"/>
    <w:next w:val="Textbody"/>
    <w:pPr>
      <w:spacing w:before="200" w:line="240" w:lineRule="auto"/>
      <w:outlineLvl w:val="1"/>
    </w:pPr>
    <w:rPr>
      <w:rFonts w:ascii="Trebuchet MS" w:eastAsia="Trebuchet MS" w:hAnsi="Trebuchet MS" w:cs="Trebuchet MS"/>
      <w:b/>
      <w:sz w:val="26"/>
    </w:rPr>
  </w:style>
  <w:style w:type="paragraph" w:styleId="Heading3">
    <w:name w:val="heading 3"/>
    <w:basedOn w:val="Normal"/>
    <w:next w:val="Textbody"/>
    <w:pPr>
      <w:spacing w:before="160" w:line="240" w:lineRule="auto"/>
      <w:outlineLvl w:val="2"/>
    </w:pPr>
    <w:rPr>
      <w:rFonts w:ascii="Trebuchet MS" w:eastAsia="Trebuchet MS" w:hAnsi="Trebuchet MS" w:cs="Trebuchet MS"/>
      <w:b/>
      <w:color w:val="666666"/>
      <w:sz w:val="24"/>
    </w:rPr>
  </w:style>
  <w:style w:type="paragraph" w:styleId="Heading4">
    <w:name w:val="heading 4"/>
    <w:basedOn w:val="Normal"/>
    <w:next w:val="Textbody"/>
    <w:pPr>
      <w:spacing w:before="160" w:line="240" w:lineRule="auto"/>
      <w:outlineLvl w:val="3"/>
    </w:pPr>
    <w:rPr>
      <w:rFonts w:ascii="Trebuchet MS" w:eastAsia="Trebuchet MS" w:hAnsi="Trebuchet MS" w:cs="Trebuchet MS"/>
      <w:color w:val="666666"/>
      <w:u w:val="single"/>
    </w:rPr>
  </w:style>
  <w:style w:type="paragraph" w:styleId="Heading5">
    <w:name w:val="heading 5"/>
    <w:basedOn w:val="Normal"/>
    <w:next w:val="Textbody"/>
    <w:pPr>
      <w:spacing w:before="160" w:line="240" w:lineRule="auto"/>
      <w:outlineLvl w:val="4"/>
    </w:pPr>
    <w:rPr>
      <w:rFonts w:ascii="Trebuchet MS" w:eastAsia="Trebuchet MS" w:hAnsi="Trebuchet MS" w:cs="Trebuchet MS"/>
      <w:color w:val="666666"/>
    </w:rPr>
  </w:style>
  <w:style w:type="paragraph" w:styleId="Heading6">
    <w:name w:val="heading 6"/>
    <w:basedOn w:val="Normal"/>
    <w:next w:val="Textbody"/>
    <w:pPr>
      <w:spacing w:before="160" w:line="240" w:lineRule="auto"/>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ubtitle"/>
    <w:pPr>
      <w:spacing w:line="240" w:lineRule="auto"/>
      <w:jc w:val="center"/>
    </w:pPr>
    <w:rPr>
      <w:rFonts w:ascii="Trebuchet MS" w:eastAsia="Trebuchet MS" w:hAnsi="Trebuchet MS" w:cs="Trebuchet MS"/>
      <w:b/>
      <w:bCs/>
      <w:sz w:val="42"/>
      <w:szCs w:val="36"/>
    </w:rPr>
  </w:style>
  <w:style w:type="paragraph" w:styleId="Subtitle">
    <w:name w:val="Subtitle"/>
    <w:basedOn w:val="Normal"/>
    <w:next w:val="Textbody"/>
    <w:pPr>
      <w:spacing w:after="200" w:line="240" w:lineRule="auto"/>
      <w:jc w:val="center"/>
    </w:pPr>
    <w:rPr>
      <w:rFonts w:ascii="Trebuchet MS" w:eastAsia="Trebuchet MS" w:hAnsi="Trebuchet MS" w:cs="Trebuchet MS"/>
      <w:i/>
      <w:iCs/>
      <w:color w:val="666666"/>
      <w:sz w:val="26"/>
      <w:szCs w:val="28"/>
    </w:rPr>
  </w:style>
  <w:style w:type="paragraph" w:styleId="CommentText">
    <w:name w:val="annotation text"/>
    <w:basedOn w:val="Normal"/>
    <w:pPr>
      <w:spacing w:line="240" w:lineRule="auto"/>
    </w:pPr>
    <w:rPr>
      <w:rFonts w:cs="Mangal"/>
      <w:sz w:val="20"/>
      <w:szCs w:val="18"/>
    </w:rPr>
  </w:style>
  <w:style w:type="paragraph" w:styleId="CommentSubject">
    <w:name w:val="annotation subject"/>
    <w:basedOn w:val="CommentText"/>
    <w:next w:val="CommentText"/>
    <w:rPr>
      <w:b/>
      <w:bCs/>
    </w:rPr>
  </w:style>
  <w:style w:type="paragraph" w:styleId="BalloonText">
    <w:name w:val="Balloon Text"/>
    <w:basedOn w:val="Normal"/>
    <w:pPr>
      <w:spacing w:line="240" w:lineRule="auto"/>
    </w:pPr>
    <w:rPr>
      <w:rFonts w:ascii="Tahoma" w:hAnsi="Tahoma" w:cs="Mangal"/>
      <w:sz w:val="16"/>
      <w:szCs w:val="14"/>
    </w:rPr>
  </w:style>
  <w:style w:type="paragraph" w:customStyle="1" w:styleId="TableContents">
    <w:name w:val="Table Contents"/>
    <w:basedOn w:val="Standard"/>
    <w:pPr>
      <w:suppressLineNumbers/>
    </w:pPr>
  </w:style>
  <w:style w:type="character" w:customStyle="1" w:styleId="ListLabel1">
    <w:name w:val="ListLabel 1"/>
    <w:rPr>
      <w:rFonts w:eastAsia="Calibri" w:cs="Calibri"/>
      <w:b w:val="0"/>
      <w:i w:val="0"/>
      <w:caps w:val="0"/>
      <w:smallCaps w:val="0"/>
      <w:strike w:val="0"/>
      <w:dstrike w:val="0"/>
      <w:color w:val="000000"/>
      <w:position w:val="0"/>
      <w:sz w:val="22"/>
      <w:u w:val="none"/>
      <w:vertAlign w:val="baseline"/>
    </w:rPr>
  </w:style>
  <w:style w:type="character" w:customStyle="1" w:styleId="ListLabel2">
    <w:name w:val="ListLabel 2"/>
    <w:rPr>
      <w:rFonts w:eastAsia="Calibri" w:cs="Calibri"/>
      <w:b w:val="0"/>
      <w:i w:val="0"/>
      <w:caps w:val="0"/>
      <w:smallCaps w:val="0"/>
      <w:strike w:val="0"/>
      <w:dstrike w:val="0"/>
      <w:color w:val="000000"/>
      <w:position w:val="0"/>
      <w:sz w:val="18"/>
      <w:u w:val="none"/>
      <w:vertAlign w:val="baseline"/>
    </w:rPr>
  </w:style>
  <w:style w:type="character" w:customStyle="1" w:styleId="Internetlink">
    <w:name w:val="Internet link"/>
    <w:rPr>
      <w:color w:val="000080"/>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Arial" w:eastAsia="Arial" w:hAnsi="Arial"/>
      <w:color w:val="000000"/>
      <w:sz w:val="20"/>
      <w:szCs w:val="18"/>
    </w:rPr>
  </w:style>
  <w:style w:type="character" w:customStyle="1" w:styleId="CommentSubjectChar">
    <w:name w:val="Comment Subject Char"/>
    <w:basedOn w:val="CommentTextChar"/>
    <w:rPr>
      <w:rFonts w:ascii="Arial" w:eastAsia="Arial" w:hAnsi="Arial"/>
      <w:b/>
      <w:bCs/>
      <w:color w:val="000000"/>
      <w:sz w:val="20"/>
      <w:szCs w:val="18"/>
    </w:rPr>
  </w:style>
  <w:style w:type="character" w:customStyle="1" w:styleId="BalloonTextChar">
    <w:name w:val="Balloon Text Char"/>
    <w:basedOn w:val="DefaultParagraphFont"/>
    <w:rPr>
      <w:rFonts w:ascii="Tahoma" w:eastAsia="Arial" w:hAnsi="Tahoma"/>
      <w:color w:val="000000"/>
      <w:sz w:val="16"/>
      <w:szCs w:val="14"/>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 (Curriculum) Guided Lesson Plans.docx</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 (Curriculum) Guided Lesson Plans.docx</dc:title>
  <dc:creator>Mohr, Paula [DCA]</dc:creator>
  <cp:lastModifiedBy>Rachel Wilke-Shapiro</cp:lastModifiedBy>
  <cp:revision>2</cp:revision>
  <dcterms:created xsi:type="dcterms:W3CDTF">2017-11-12T16:39:00Z</dcterms:created>
  <dcterms:modified xsi:type="dcterms:W3CDTF">2017-11-12T16:39:00Z</dcterms:modified>
</cp:coreProperties>
</file>